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2C4" w:rsidRPr="000415AC" w:rsidRDefault="000162C4" w:rsidP="000162C4">
      <w:pPr>
        <w:pStyle w:val="a3"/>
        <w:spacing w:before="120" w:beforeAutospacing="0" w:after="60" w:afterAutospacing="0"/>
        <w:ind w:firstLine="708"/>
        <w:jc w:val="center"/>
        <w:rPr>
          <w:b/>
          <w:color w:val="2D3038"/>
          <w:sz w:val="28"/>
        </w:rPr>
      </w:pPr>
      <w:r>
        <w:rPr>
          <w:b/>
          <w:color w:val="2D3038"/>
          <w:sz w:val="28"/>
        </w:rPr>
        <w:t xml:space="preserve">Задача № </w:t>
      </w:r>
      <w:r w:rsidRPr="000415AC">
        <w:rPr>
          <w:b/>
          <w:color w:val="2D3038"/>
          <w:sz w:val="28"/>
        </w:rPr>
        <w:t>3</w:t>
      </w:r>
    </w:p>
    <w:p w:rsidR="00942A9F" w:rsidRPr="00942A9F" w:rsidRDefault="00942A9F" w:rsidP="00942A9F">
      <w:pPr>
        <w:pStyle w:val="a3"/>
        <w:spacing w:before="120" w:beforeAutospacing="0" w:after="60" w:afterAutospacing="0"/>
        <w:ind w:firstLine="708"/>
        <w:jc w:val="both"/>
        <w:rPr>
          <w:color w:val="2D3038"/>
          <w:sz w:val="28"/>
        </w:rPr>
      </w:pPr>
      <w:r w:rsidRPr="00942A9F">
        <w:rPr>
          <w:color w:val="2D3038"/>
          <w:sz w:val="28"/>
        </w:rPr>
        <w:t xml:space="preserve">Произведите группировку магазинов №№10…29 (см. приложение 1) по признаку </w:t>
      </w:r>
      <w:r w:rsidRPr="00942A9F">
        <w:rPr>
          <w:b/>
          <w:color w:val="2D3038"/>
          <w:sz w:val="28"/>
        </w:rPr>
        <w:t>стоимость основных фондов</w:t>
      </w:r>
      <w:r w:rsidRPr="00942A9F">
        <w:rPr>
          <w:color w:val="2D3038"/>
          <w:sz w:val="28"/>
        </w:rPr>
        <w:t>, образовав при этом 4 группы с равными интервалами.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color w:val="2D3038"/>
          <w:sz w:val="28"/>
        </w:rPr>
      </w:pPr>
      <w:r w:rsidRPr="00942A9F">
        <w:rPr>
          <w:b/>
          <w:color w:val="2D3038"/>
          <w:sz w:val="28"/>
        </w:rPr>
        <w:t xml:space="preserve">Сказуемое </w:t>
      </w:r>
      <w:r w:rsidRPr="00942A9F">
        <w:rPr>
          <w:color w:val="2D3038"/>
          <w:sz w:val="28"/>
        </w:rPr>
        <w:t>групповой таблицы должно содержать следующие показатели: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color w:val="2D3038"/>
          <w:sz w:val="28"/>
        </w:rPr>
      </w:pPr>
      <w:r w:rsidRPr="00942A9F">
        <w:rPr>
          <w:color w:val="2D3038"/>
          <w:sz w:val="28"/>
        </w:rPr>
        <w:t>1. число магазинов;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color w:val="2D3038"/>
          <w:sz w:val="28"/>
        </w:rPr>
      </w:pPr>
      <w:r w:rsidRPr="00942A9F">
        <w:rPr>
          <w:color w:val="2D3038"/>
          <w:sz w:val="28"/>
        </w:rPr>
        <w:t>2. средняя стоимость основных фондов;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color w:val="2D3038"/>
          <w:sz w:val="28"/>
        </w:rPr>
      </w:pPr>
      <w:r w:rsidRPr="00942A9F">
        <w:rPr>
          <w:color w:val="2D3038"/>
          <w:sz w:val="28"/>
        </w:rPr>
        <w:t>3. размер товарооборота;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color w:val="2D3038"/>
          <w:sz w:val="28"/>
        </w:rPr>
      </w:pPr>
      <w:r w:rsidRPr="00942A9F">
        <w:rPr>
          <w:color w:val="2D3038"/>
          <w:sz w:val="28"/>
        </w:rPr>
        <w:t>4. размер издержек обращения;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color w:val="2D3038"/>
          <w:sz w:val="28"/>
        </w:rPr>
      </w:pPr>
      <w:r w:rsidRPr="00942A9F">
        <w:rPr>
          <w:color w:val="2D3038"/>
          <w:sz w:val="28"/>
        </w:rPr>
        <w:t>5. уровень фондоотдачи (товарооборот/средняя стоимость основных фондов).</w:t>
      </w:r>
    </w:p>
    <w:p w:rsidR="00942A9F" w:rsidRPr="00942A9F" w:rsidRDefault="00942A9F" w:rsidP="00942A9F">
      <w:pPr>
        <w:pStyle w:val="a3"/>
        <w:spacing w:before="120" w:beforeAutospacing="0" w:after="60" w:afterAutospacing="0"/>
        <w:ind w:firstLine="708"/>
        <w:jc w:val="both"/>
        <w:rPr>
          <w:color w:val="2D3038"/>
          <w:sz w:val="28"/>
        </w:rPr>
      </w:pPr>
      <w:r w:rsidRPr="00942A9F">
        <w:rPr>
          <w:b/>
          <w:color w:val="2D3038"/>
          <w:sz w:val="28"/>
        </w:rPr>
        <w:t>Примечание:</w:t>
      </w:r>
      <w:r w:rsidRPr="00942A9F">
        <w:rPr>
          <w:color w:val="2D3038"/>
          <w:sz w:val="28"/>
        </w:rPr>
        <w:t xml:space="preserve"> в п.п.2-4 показатели необходимо рассчитать в сумме и в среднем на один магазин.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b/>
          <w:color w:val="2D3038"/>
          <w:sz w:val="28"/>
          <w:lang w:val="en-US"/>
        </w:rPr>
      </w:pPr>
      <w:r w:rsidRPr="00942A9F">
        <w:rPr>
          <w:b/>
          <w:color w:val="2D3038"/>
          <w:sz w:val="28"/>
        </w:rPr>
        <w:t>Сделайте выводы.</w:t>
      </w:r>
    </w:p>
    <w:p w:rsidR="00942A9F" w:rsidRPr="00942A9F" w:rsidRDefault="00942A9F" w:rsidP="00942A9F">
      <w:pPr>
        <w:pStyle w:val="a3"/>
        <w:spacing w:before="120" w:beforeAutospacing="0" w:after="60" w:afterAutospacing="0"/>
        <w:jc w:val="both"/>
        <w:rPr>
          <w:color w:val="2D3038"/>
          <w:sz w:val="28"/>
          <w:lang w:val="en-US"/>
        </w:rPr>
      </w:pPr>
    </w:p>
    <w:tbl>
      <w:tblPr>
        <w:tblStyle w:val="a4"/>
        <w:tblW w:w="8755" w:type="dxa"/>
        <w:jc w:val="center"/>
        <w:tblLook w:val="04A0" w:firstRow="1" w:lastRow="0" w:firstColumn="1" w:lastColumn="0" w:noHBand="0" w:noVBand="1"/>
      </w:tblPr>
      <w:tblGrid>
        <w:gridCol w:w="1668"/>
        <w:gridCol w:w="2268"/>
        <w:gridCol w:w="2126"/>
        <w:gridCol w:w="2693"/>
      </w:tblGrid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Номер магазина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Стоимость основных фондов (среднегодовая) (млн. руб.)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Товарооборот (млн. руб.)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Издержки обращения (млн. руб.)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10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6.3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280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46.8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11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5.7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156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30.4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12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5.0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213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28.1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13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6.7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298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38.5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14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6.5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242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34.2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15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4.8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130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20.1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16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6.8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184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22.3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17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3.0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96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9.8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18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6.9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304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38.7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19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2.8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95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11.7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20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8.3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352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40.1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21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3.0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101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13.6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22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4.1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148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21.6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23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2.2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74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9.2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24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4.6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135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20.2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25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7.1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320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40.0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26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5.6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155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22.4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27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6.0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262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29.1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28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4.8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138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20.6</w:t>
            </w:r>
          </w:p>
        </w:tc>
      </w:tr>
      <w:tr w:rsidR="00942A9F" w:rsidRPr="00942A9F" w:rsidTr="00942A9F">
        <w:trPr>
          <w:jc w:val="center"/>
        </w:trPr>
        <w:tc>
          <w:tcPr>
            <w:tcW w:w="16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29</w:t>
            </w:r>
          </w:p>
        </w:tc>
        <w:tc>
          <w:tcPr>
            <w:tcW w:w="2268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8.1</w:t>
            </w:r>
          </w:p>
        </w:tc>
        <w:tc>
          <w:tcPr>
            <w:tcW w:w="2126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216</w:t>
            </w:r>
          </w:p>
        </w:tc>
        <w:tc>
          <w:tcPr>
            <w:tcW w:w="2693" w:type="dxa"/>
            <w:hideMark/>
          </w:tcPr>
          <w:p w:rsidR="00942A9F" w:rsidRPr="00942A9F" w:rsidRDefault="00942A9F" w:rsidP="00942A9F">
            <w:pPr>
              <w:pStyle w:val="a3"/>
              <w:spacing w:before="0" w:beforeAutospacing="0" w:after="0" w:afterAutospacing="0"/>
              <w:rPr>
                <w:color w:val="2D3038"/>
                <w:sz w:val="28"/>
              </w:rPr>
            </w:pPr>
            <w:r w:rsidRPr="00942A9F">
              <w:rPr>
                <w:color w:val="2D3038"/>
                <w:sz w:val="28"/>
              </w:rPr>
              <w:t>28.4</w:t>
            </w:r>
          </w:p>
        </w:tc>
      </w:tr>
    </w:tbl>
    <w:p w:rsidR="005A6F27" w:rsidRDefault="005A6F27" w:rsidP="00942A9F">
      <w:pPr>
        <w:rPr>
          <w:sz w:val="28"/>
          <w:lang w:val="en-US"/>
        </w:rPr>
      </w:pPr>
    </w:p>
    <w:p w:rsidR="000415AC" w:rsidRDefault="000415AC" w:rsidP="00942A9F">
      <w:pPr>
        <w:rPr>
          <w:sz w:val="28"/>
          <w:lang w:val="en-US"/>
        </w:rPr>
      </w:pPr>
    </w:p>
    <w:p w:rsidR="000415AC" w:rsidRPr="000415AC" w:rsidRDefault="000415AC" w:rsidP="000415AC">
      <w:pPr>
        <w:contextualSpacing/>
        <w:jc w:val="center"/>
        <w:rPr>
          <w:b/>
          <w:i/>
          <w:sz w:val="28"/>
          <w:u w:val="single"/>
          <w:lang w:val="en-US"/>
        </w:rPr>
      </w:pPr>
      <w:proofErr w:type="spellStart"/>
      <w:r w:rsidRPr="000415AC">
        <w:rPr>
          <w:b/>
          <w:i/>
          <w:sz w:val="28"/>
          <w:u w:val="single"/>
          <w:lang w:val="en-US"/>
        </w:rPr>
        <w:t>O</w:t>
      </w:r>
      <w:r w:rsidRPr="000415AC">
        <w:rPr>
          <w:b/>
          <w:i/>
          <w:sz w:val="28"/>
          <w:u w:val="single"/>
          <w:lang w:val="en-US"/>
        </w:rPr>
        <w:t>пределение</w:t>
      </w:r>
      <w:proofErr w:type="spellEnd"/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b/>
          <w:sz w:val="28"/>
        </w:rPr>
        <w:t>Фондоотдача</w:t>
      </w:r>
      <w:r w:rsidRPr="000415AC">
        <w:rPr>
          <w:sz w:val="28"/>
        </w:rPr>
        <w:t xml:space="preserve"> – это финанс</w:t>
      </w:r>
      <w:bookmarkStart w:id="0" w:name="_GoBack"/>
      <w:bookmarkEnd w:id="0"/>
      <w:r w:rsidRPr="000415AC">
        <w:rPr>
          <w:sz w:val="28"/>
        </w:rPr>
        <w:t>овый коэффициент, характеризующий эффективность использования основных средств организации. Фондоотдача показывает, сколько выручки приходится на единицу стоимости основных средств.</w:t>
      </w:r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sz w:val="28"/>
        </w:rPr>
        <w:t>Следует отменить, что сам по себе показатель фондоотдачи не говорит об эффективности использования производственных фондов, а лишь показывает, как соотносится объем полученной от реализации продукции (т.е. выручки) со стоимостью имеющихся у организации сре</w:t>
      </w:r>
      <w:proofErr w:type="gramStart"/>
      <w:r w:rsidRPr="000415AC">
        <w:rPr>
          <w:sz w:val="28"/>
        </w:rPr>
        <w:t>дств тр</w:t>
      </w:r>
      <w:proofErr w:type="gramEnd"/>
      <w:r w:rsidRPr="000415AC">
        <w:rPr>
          <w:sz w:val="28"/>
        </w:rPr>
        <w:t>уда. Сделать выводи именно об эффективности использования производственных фондов можно, сравнивая показатель фондоотдачи в динамике за ряд лет, либо сравнивая его с таким же показателем для других, аналогичных предприятий той же отрасли.</w:t>
      </w:r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sz w:val="28"/>
        </w:rPr>
        <w:t>Формула (расчет)</w:t>
      </w:r>
    </w:p>
    <w:p w:rsidR="000415AC" w:rsidRPr="000415AC" w:rsidRDefault="000415AC" w:rsidP="000415AC">
      <w:pPr>
        <w:contextualSpacing/>
        <w:jc w:val="both"/>
        <w:rPr>
          <w:sz w:val="28"/>
        </w:rPr>
      </w:pPr>
      <w:r w:rsidRPr="000415AC">
        <w:rPr>
          <w:sz w:val="28"/>
        </w:rPr>
        <w:t xml:space="preserve">Показатель фондоотдачи рассчитывают по </w:t>
      </w:r>
      <w:proofErr w:type="gramStart"/>
      <w:r w:rsidRPr="000415AC">
        <w:rPr>
          <w:sz w:val="28"/>
        </w:rPr>
        <w:t>следующие</w:t>
      </w:r>
      <w:proofErr w:type="gramEnd"/>
      <w:r w:rsidRPr="000415AC">
        <w:rPr>
          <w:sz w:val="28"/>
        </w:rPr>
        <w:t xml:space="preserve"> формуле:</w:t>
      </w:r>
    </w:p>
    <w:p w:rsidR="000415AC" w:rsidRPr="000415AC" w:rsidRDefault="000415AC" w:rsidP="000415AC">
      <w:pPr>
        <w:contextualSpacing/>
        <w:jc w:val="both"/>
        <w:rPr>
          <w:sz w:val="28"/>
        </w:rPr>
      </w:pPr>
      <w:r w:rsidRPr="000415AC">
        <w:rPr>
          <w:sz w:val="28"/>
        </w:rPr>
        <w:t>Фондоотдача = Выручка / Основные средства</w:t>
      </w:r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sz w:val="28"/>
        </w:rPr>
        <w:t>Для более точного расчета показатель стоимости основных сре</w:t>
      </w:r>
      <w:proofErr w:type="gramStart"/>
      <w:r w:rsidRPr="000415AC">
        <w:rPr>
          <w:sz w:val="28"/>
        </w:rPr>
        <w:t>дств сл</w:t>
      </w:r>
      <w:proofErr w:type="gramEnd"/>
      <w:r w:rsidRPr="000415AC">
        <w:rPr>
          <w:sz w:val="28"/>
        </w:rPr>
        <w:t>едует брать не на конец периода, а как среднее арифметическое за период, за который взята выручка (т.е. сумма стоимости основных средств на начало периода и конец периода, деленная на 2).</w:t>
      </w:r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sz w:val="28"/>
        </w:rPr>
        <w:t>В некоторых источниках рекомендуют использовать первоначальную стоимость основных средств. Однако в бухгалтерской отчетности (Балансе) указывается остаточная стоимость основных средств, поэтому чаще в расчетах используют именно эту оценку.</w:t>
      </w:r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sz w:val="28"/>
        </w:rPr>
        <w:t>По своей сути показатель фондоотдачи можно отнести к показателям оборачиваемости (наряду с оборачиваемостью запасов, дебиторской задолженности и прочих активов). Показатели оборачиваемости (коэффициент) всегда рассчитываются отношением выручки к тем или иным активам или обязательствам.</w:t>
      </w:r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sz w:val="28"/>
        </w:rPr>
        <w:t>Нормальное значение</w:t>
      </w:r>
    </w:p>
    <w:p w:rsidR="000415AC" w:rsidRPr="000415AC" w:rsidRDefault="000415AC" w:rsidP="000415AC">
      <w:pPr>
        <w:contextualSpacing/>
        <w:jc w:val="both"/>
        <w:rPr>
          <w:sz w:val="28"/>
        </w:rPr>
      </w:pPr>
      <w:r w:rsidRPr="000415AC">
        <w:rPr>
          <w:sz w:val="28"/>
        </w:rPr>
        <w:t xml:space="preserve">Коэффициент фондоотдачи не имеет общепринятого нормального значения. Это объясняется тем, что показатель сильно зависит от отраслевых особенностей. Например, в </w:t>
      </w:r>
      <w:proofErr w:type="spellStart"/>
      <w:r w:rsidRPr="000415AC">
        <w:rPr>
          <w:sz w:val="28"/>
        </w:rPr>
        <w:t>фондоемких</w:t>
      </w:r>
      <w:proofErr w:type="spellEnd"/>
      <w:r w:rsidRPr="000415AC">
        <w:rPr>
          <w:sz w:val="28"/>
        </w:rPr>
        <w:t xml:space="preserve"> производствах доля основных средств в активах предприятия велика, поэтому коэффициент будет ниже. Если рассматривать показатель фондоотдачи в динамике, то рост коэффициента говорит о повышении интенсивности (эффективности) использования оборудования.</w:t>
      </w:r>
    </w:p>
    <w:p w:rsidR="000415AC" w:rsidRPr="000415AC" w:rsidRDefault="000415AC" w:rsidP="000415AC">
      <w:pPr>
        <w:ind w:firstLine="708"/>
        <w:contextualSpacing/>
        <w:jc w:val="both"/>
        <w:rPr>
          <w:sz w:val="28"/>
        </w:rPr>
      </w:pPr>
      <w:r w:rsidRPr="000415AC">
        <w:rPr>
          <w:sz w:val="28"/>
        </w:rPr>
        <w:t xml:space="preserve">Соответственно, чтобы повысить фондоотдачу нужно либо увеличить выручки при использовании уже имеющегося оборудования (повысить эффективность его использования, производить продукцию с большей добавленной стоимостью, увеличить время использования оборудования – количество смен, использовать более современное и производительное оборудование), либо избавиться от ненужного оборудования, </w:t>
      </w:r>
      <w:proofErr w:type="gramStart"/>
      <w:r w:rsidRPr="000415AC">
        <w:rPr>
          <w:sz w:val="28"/>
        </w:rPr>
        <w:t>снизив</w:t>
      </w:r>
      <w:proofErr w:type="gramEnd"/>
      <w:r w:rsidRPr="000415AC">
        <w:rPr>
          <w:sz w:val="28"/>
        </w:rPr>
        <w:t xml:space="preserve"> таким образом его стоимость в знаменателе коэффициента.</w:t>
      </w:r>
    </w:p>
    <w:sectPr w:rsidR="000415AC" w:rsidRPr="000415AC" w:rsidSect="000415AC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A0"/>
    <w:rsid w:val="000162C4"/>
    <w:rsid w:val="000415AC"/>
    <w:rsid w:val="00043067"/>
    <w:rsid w:val="000507A0"/>
    <w:rsid w:val="000C5935"/>
    <w:rsid w:val="003F41D8"/>
    <w:rsid w:val="004F40D2"/>
    <w:rsid w:val="00512432"/>
    <w:rsid w:val="005A6F27"/>
    <w:rsid w:val="0062394D"/>
    <w:rsid w:val="007F263B"/>
    <w:rsid w:val="008555D5"/>
    <w:rsid w:val="008F4A45"/>
    <w:rsid w:val="00942A9F"/>
    <w:rsid w:val="009E5A73"/>
    <w:rsid w:val="00A62B11"/>
    <w:rsid w:val="00BF38AE"/>
    <w:rsid w:val="00D20605"/>
    <w:rsid w:val="00D33FE0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2A9F"/>
    <w:pPr>
      <w:spacing w:before="100" w:beforeAutospacing="1" w:after="100" w:afterAutospacing="1"/>
    </w:pPr>
  </w:style>
  <w:style w:type="table" w:styleId="a4">
    <w:name w:val="Table Grid"/>
    <w:basedOn w:val="a1"/>
    <w:rsid w:val="00942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2A9F"/>
    <w:pPr>
      <w:spacing w:before="100" w:beforeAutospacing="1" w:after="100" w:afterAutospacing="1"/>
    </w:pPr>
  </w:style>
  <w:style w:type="table" w:styleId="a4">
    <w:name w:val="Table Grid"/>
    <w:basedOn w:val="a1"/>
    <w:rsid w:val="00942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522</Words>
  <Characters>2976</Characters>
  <Application>Microsoft Office Word</Application>
  <DocSecurity>0</DocSecurity>
  <Lines>24</Lines>
  <Paragraphs>6</Paragraphs>
  <ScaleCrop>false</ScaleCrop>
  <Company>Home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2021-09-25T03:48:00Z</dcterms:created>
  <dcterms:modified xsi:type="dcterms:W3CDTF">2021-09-29T14:05:00Z</dcterms:modified>
</cp:coreProperties>
</file>